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AB853" w14:textId="7784161D" w:rsidR="00F015CD" w:rsidRDefault="00E055EB" w:rsidP="00AD61BA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3" w:hanging="567"/>
        <w:jc w:val="both"/>
      </w:pPr>
      <w:bookmarkStart w:id="0" w:name="_GoBack"/>
      <w:bookmarkEnd w:id="0"/>
      <w:r>
        <w:rPr>
          <w:spacing w:val="-3"/>
        </w:rPr>
        <w:t xml:space="preserve">The </w:t>
      </w:r>
      <w:r>
        <w:rPr>
          <w:spacing w:val="-4"/>
        </w:rPr>
        <w:t xml:space="preserve">Queensland Parole System Review (QPSR), </w:t>
      </w:r>
      <w:r>
        <w:rPr>
          <w:spacing w:val="-3"/>
        </w:rPr>
        <w:t xml:space="preserve">led </w:t>
      </w:r>
      <w:r>
        <w:t xml:space="preserve">by </w:t>
      </w:r>
      <w:r>
        <w:rPr>
          <w:spacing w:val="-4"/>
        </w:rPr>
        <w:t xml:space="preserve">Mr </w:t>
      </w:r>
      <w:r>
        <w:t xml:space="preserve">Walter </w:t>
      </w:r>
      <w:r>
        <w:rPr>
          <w:spacing w:val="-4"/>
        </w:rPr>
        <w:t xml:space="preserve">Sofronoff </w:t>
      </w:r>
      <w:r>
        <w:rPr>
          <w:spacing w:val="-3"/>
        </w:rPr>
        <w:t xml:space="preserve">QC, </w:t>
      </w:r>
      <w:r>
        <w:rPr>
          <w:spacing w:val="-4"/>
        </w:rPr>
        <w:t xml:space="preserve">presented </w:t>
      </w:r>
      <w:r>
        <w:t xml:space="preserve">the </w:t>
      </w:r>
      <w:r>
        <w:rPr>
          <w:spacing w:val="-4"/>
        </w:rPr>
        <w:t xml:space="preserve">Queensland Parole System Review </w:t>
      </w:r>
      <w:r>
        <w:rPr>
          <w:spacing w:val="-3"/>
        </w:rPr>
        <w:t xml:space="preserve">Report (the </w:t>
      </w:r>
      <w:r>
        <w:rPr>
          <w:spacing w:val="-4"/>
        </w:rPr>
        <w:t xml:space="preserve">Report) </w:t>
      </w:r>
      <w:r>
        <w:t xml:space="preserve">to </w:t>
      </w:r>
      <w:r w:rsidR="00773C12">
        <w:t xml:space="preserve">the Queensland </w:t>
      </w:r>
      <w:r>
        <w:rPr>
          <w:spacing w:val="-4"/>
        </w:rPr>
        <w:t xml:space="preserve">Government </w:t>
      </w:r>
      <w:r>
        <w:t>on 1</w:t>
      </w:r>
      <w:r w:rsidR="00AD61BA">
        <w:t> </w:t>
      </w:r>
      <w:r>
        <w:rPr>
          <w:spacing w:val="-4"/>
        </w:rPr>
        <w:t xml:space="preserve">December 2016. </w:t>
      </w:r>
      <w:r>
        <w:t xml:space="preserve">The </w:t>
      </w:r>
      <w:r>
        <w:rPr>
          <w:spacing w:val="-4"/>
        </w:rPr>
        <w:t xml:space="preserve">Report contained </w:t>
      </w:r>
      <w:r>
        <w:t xml:space="preserve">91 </w:t>
      </w:r>
      <w:r>
        <w:rPr>
          <w:spacing w:val="-4"/>
        </w:rPr>
        <w:t xml:space="preserve">recommendations </w:t>
      </w:r>
      <w:r>
        <w:t xml:space="preserve">to </w:t>
      </w:r>
      <w:r>
        <w:rPr>
          <w:spacing w:val="-4"/>
        </w:rPr>
        <w:t>reform Queensland’s parole</w:t>
      </w:r>
      <w:r>
        <w:rPr>
          <w:spacing w:val="-9"/>
        </w:rPr>
        <w:t xml:space="preserve"> </w:t>
      </w:r>
      <w:r>
        <w:rPr>
          <w:spacing w:val="-4"/>
        </w:rPr>
        <w:t>system.</w:t>
      </w:r>
    </w:p>
    <w:p w14:paraId="467AB857" w14:textId="014F86CE" w:rsidR="00F015CD" w:rsidRDefault="00E055EB" w:rsidP="006216AC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3" w:hanging="567"/>
        <w:jc w:val="both"/>
      </w:pPr>
      <w:r>
        <w:t xml:space="preserve">The </w:t>
      </w:r>
      <w:r>
        <w:rPr>
          <w:spacing w:val="-4"/>
        </w:rPr>
        <w:t xml:space="preserve">Government supported, </w:t>
      </w:r>
      <w:r>
        <w:rPr>
          <w:spacing w:val="-3"/>
        </w:rPr>
        <w:t xml:space="preserve">or </w:t>
      </w:r>
      <w:r>
        <w:rPr>
          <w:spacing w:val="-4"/>
        </w:rPr>
        <w:t xml:space="preserve">supported-in-principle, </w:t>
      </w:r>
      <w:r>
        <w:t xml:space="preserve">89 </w:t>
      </w:r>
      <w:r>
        <w:rPr>
          <w:spacing w:val="-3"/>
        </w:rPr>
        <w:t xml:space="preserve">of the </w:t>
      </w:r>
      <w:r>
        <w:t xml:space="preserve">91 </w:t>
      </w:r>
      <w:r>
        <w:rPr>
          <w:spacing w:val="-4"/>
        </w:rPr>
        <w:t>recommendations</w:t>
      </w:r>
      <w:r w:rsidR="00B85EB0">
        <w:rPr>
          <w:spacing w:val="-4"/>
        </w:rPr>
        <w:t>.</w:t>
      </w:r>
      <w:r w:rsidR="00EF5593">
        <w:rPr>
          <w:spacing w:val="-4"/>
        </w:rPr>
        <w:t xml:space="preserve"> </w:t>
      </w:r>
      <w:r>
        <w:t>As at 31</w:t>
      </w:r>
      <w:r w:rsidR="00AD61BA">
        <w:t> </w:t>
      </w:r>
      <w:r w:rsidRPr="00840A23">
        <w:rPr>
          <w:spacing w:val="-4"/>
        </w:rPr>
        <w:t xml:space="preserve">January </w:t>
      </w:r>
      <w:r w:rsidRPr="006402C2">
        <w:rPr>
          <w:spacing w:val="-3"/>
        </w:rPr>
        <w:t xml:space="preserve">2019, </w:t>
      </w:r>
      <w:r>
        <w:t xml:space="preserve">34 </w:t>
      </w:r>
      <w:r w:rsidRPr="006402C2">
        <w:rPr>
          <w:spacing w:val="-3"/>
        </w:rPr>
        <w:t xml:space="preserve">of the </w:t>
      </w:r>
      <w:r>
        <w:t xml:space="preserve">89 </w:t>
      </w:r>
      <w:r w:rsidRPr="00840A23">
        <w:rPr>
          <w:spacing w:val="-4"/>
        </w:rPr>
        <w:t xml:space="preserve">accepted </w:t>
      </w:r>
      <w:r w:rsidRPr="006402C2">
        <w:rPr>
          <w:spacing w:val="-3"/>
        </w:rPr>
        <w:t xml:space="preserve">QPSR </w:t>
      </w:r>
      <w:r w:rsidRPr="00840A23">
        <w:rPr>
          <w:spacing w:val="-4"/>
        </w:rPr>
        <w:t xml:space="preserve">recommendations </w:t>
      </w:r>
      <w:r>
        <w:t xml:space="preserve">had </w:t>
      </w:r>
      <w:r w:rsidRPr="00840A23">
        <w:rPr>
          <w:spacing w:val="-4"/>
        </w:rPr>
        <w:t xml:space="preserve">been completed. </w:t>
      </w:r>
      <w:r>
        <w:t xml:space="preserve">The </w:t>
      </w:r>
      <w:r w:rsidRPr="00840A23">
        <w:rPr>
          <w:spacing w:val="-4"/>
        </w:rPr>
        <w:t xml:space="preserve">completed recommendations </w:t>
      </w:r>
      <w:r w:rsidRPr="006402C2">
        <w:rPr>
          <w:spacing w:val="-3"/>
        </w:rPr>
        <w:t xml:space="preserve">relate </w:t>
      </w:r>
      <w:r>
        <w:t xml:space="preserve">to </w:t>
      </w:r>
      <w:r w:rsidRPr="00840A23">
        <w:rPr>
          <w:spacing w:val="-4"/>
        </w:rPr>
        <w:t>legislative changes, establishment</w:t>
      </w:r>
      <w:r w:rsidRPr="006402C2">
        <w:rPr>
          <w:spacing w:val="53"/>
        </w:rPr>
        <w:t xml:space="preserve"> </w:t>
      </w:r>
      <w:r w:rsidRPr="006402C2">
        <w:rPr>
          <w:spacing w:val="-3"/>
        </w:rPr>
        <w:t xml:space="preserve">of the </w:t>
      </w:r>
      <w:r w:rsidRPr="00840A23">
        <w:rPr>
          <w:spacing w:val="-4"/>
        </w:rPr>
        <w:t xml:space="preserve">Parole </w:t>
      </w:r>
      <w:r w:rsidRPr="006402C2">
        <w:rPr>
          <w:spacing w:val="-3"/>
        </w:rPr>
        <w:t xml:space="preserve">Board </w:t>
      </w:r>
      <w:r w:rsidRPr="00840A23">
        <w:rPr>
          <w:spacing w:val="-4"/>
        </w:rPr>
        <w:t xml:space="preserve">Queensland </w:t>
      </w:r>
      <w:r w:rsidRPr="006402C2">
        <w:rPr>
          <w:spacing w:val="-3"/>
        </w:rPr>
        <w:t xml:space="preserve">and </w:t>
      </w:r>
      <w:r w:rsidRPr="00840A23">
        <w:rPr>
          <w:spacing w:val="-4"/>
        </w:rPr>
        <w:t xml:space="preserve">associated processes, expansion </w:t>
      </w:r>
      <w:r w:rsidRPr="006402C2">
        <w:rPr>
          <w:spacing w:val="-3"/>
        </w:rPr>
        <w:t xml:space="preserve">of GPS </w:t>
      </w:r>
      <w:r w:rsidRPr="006402C2">
        <w:rPr>
          <w:spacing w:val="-5"/>
        </w:rPr>
        <w:t xml:space="preserve">monitoring </w:t>
      </w:r>
      <w:r w:rsidRPr="006402C2">
        <w:rPr>
          <w:spacing w:val="-3"/>
        </w:rPr>
        <w:t xml:space="preserve">for </w:t>
      </w:r>
      <w:r w:rsidRPr="00840A23">
        <w:rPr>
          <w:spacing w:val="-4"/>
        </w:rPr>
        <w:t xml:space="preserve">parolees, completion </w:t>
      </w:r>
      <w:r w:rsidRPr="006402C2">
        <w:rPr>
          <w:spacing w:val="-3"/>
        </w:rPr>
        <w:t xml:space="preserve">of the </w:t>
      </w:r>
      <w:r w:rsidRPr="00840A23">
        <w:rPr>
          <w:spacing w:val="-4"/>
        </w:rPr>
        <w:t xml:space="preserve">housing taskforce report, </w:t>
      </w:r>
      <w:r>
        <w:t xml:space="preserve">and </w:t>
      </w:r>
      <w:r w:rsidRPr="00840A23">
        <w:rPr>
          <w:spacing w:val="-4"/>
        </w:rPr>
        <w:t xml:space="preserve">expanding probation </w:t>
      </w:r>
      <w:r w:rsidRPr="006402C2">
        <w:rPr>
          <w:spacing w:val="-3"/>
        </w:rPr>
        <w:t xml:space="preserve">and parole </w:t>
      </w:r>
      <w:r w:rsidRPr="00840A23">
        <w:rPr>
          <w:spacing w:val="-4"/>
        </w:rPr>
        <w:t xml:space="preserve">office </w:t>
      </w:r>
      <w:r w:rsidRPr="006402C2">
        <w:rPr>
          <w:spacing w:val="-3"/>
        </w:rPr>
        <w:t xml:space="preserve">space </w:t>
      </w:r>
      <w:r>
        <w:t xml:space="preserve">to </w:t>
      </w:r>
      <w:r w:rsidRPr="00840A23">
        <w:rPr>
          <w:spacing w:val="-4"/>
        </w:rPr>
        <w:t>accommodate additional</w:t>
      </w:r>
      <w:r w:rsidRPr="006402C2">
        <w:rPr>
          <w:spacing w:val="-28"/>
        </w:rPr>
        <w:t xml:space="preserve"> </w:t>
      </w:r>
      <w:r w:rsidRPr="00840A23">
        <w:rPr>
          <w:spacing w:val="-4"/>
        </w:rPr>
        <w:t>staff.</w:t>
      </w:r>
    </w:p>
    <w:p w14:paraId="467AB859" w14:textId="62F337EB" w:rsidR="00F015CD" w:rsidRDefault="00E055EB" w:rsidP="006216AC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3" w:hanging="567"/>
        <w:jc w:val="both"/>
      </w:pPr>
      <w:r>
        <w:t xml:space="preserve">On </w:t>
      </w:r>
      <w:r>
        <w:rPr>
          <w:spacing w:val="-3"/>
        </w:rPr>
        <w:t xml:space="preserve">26 March 2019, </w:t>
      </w:r>
      <w:r>
        <w:t xml:space="preserve">the </w:t>
      </w:r>
      <w:r>
        <w:rPr>
          <w:spacing w:val="-4"/>
        </w:rPr>
        <w:t xml:space="preserve">Government announced </w:t>
      </w:r>
      <w:r>
        <w:t xml:space="preserve">the </w:t>
      </w:r>
      <w:r>
        <w:rPr>
          <w:spacing w:val="-3"/>
        </w:rPr>
        <w:t xml:space="preserve">two </w:t>
      </w:r>
      <w:r>
        <w:rPr>
          <w:spacing w:val="-4"/>
        </w:rPr>
        <w:t xml:space="preserve">private prisons </w:t>
      </w:r>
      <w:r>
        <w:rPr>
          <w:spacing w:val="-3"/>
        </w:rPr>
        <w:t xml:space="preserve">in </w:t>
      </w:r>
      <w:r>
        <w:rPr>
          <w:spacing w:val="-4"/>
        </w:rPr>
        <w:t xml:space="preserve">Queensland, Arthur </w:t>
      </w:r>
      <w:r>
        <w:rPr>
          <w:spacing w:val="-3"/>
        </w:rPr>
        <w:t xml:space="preserve">Gorrie </w:t>
      </w:r>
      <w:r>
        <w:t xml:space="preserve">and </w:t>
      </w:r>
      <w:r>
        <w:rPr>
          <w:spacing w:val="-4"/>
        </w:rPr>
        <w:t xml:space="preserve">Southern Queensland correctional centres, would </w:t>
      </w:r>
      <w:r>
        <w:t xml:space="preserve">be </w:t>
      </w:r>
      <w:r>
        <w:rPr>
          <w:spacing w:val="-4"/>
        </w:rPr>
        <w:t xml:space="preserve">transitioned </w:t>
      </w:r>
      <w:r>
        <w:t xml:space="preserve">to </w:t>
      </w:r>
      <w:r>
        <w:rPr>
          <w:spacing w:val="-3"/>
        </w:rPr>
        <w:t xml:space="preserve">public </w:t>
      </w:r>
      <w:r>
        <w:rPr>
          <w:spacing w:val="-4"/>
        </w:rPr>
        <w:t xml:space="preserve">management. </w:t>
      </w:r>
      <w:r>
        <w:rPr>
          <w:spacing w:val="-3"/>
        </w:rPr>
        <w:t>This enable</w:t>
      </w:r>
      <w:r w:rsidR="00202D25">
        <w:rPr>
          <w:spacing w:val="-3"/>
        </w:rPr>
        <w:t>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3"/>
        </w:rPr>
        <w:t xml:space="preserve">more </w:t>
      </w:r>
      <w:r>
        <w:rPr>
          <w:spacing w:val="-4"/>
        </w:rPr>
        <w:t xml:space="preserve">consistent approach </w:t>
      </w:r>
      <w:r>
        <w:rPr>
          <w:spacing w:val="-3"/>
        </w:rPr>
        <w:t xml:space="preserve">for </w:t>
      </w:r>
      <w:r>
        <w:rPr>
          <w:spacing w:val="-4"/>
        </w:rPr>
        <w:t xml:space="preserve">implementing </w:t>
      </w:r>
      <w:r>
        <w:rPr>
          <w:spacing w:val="-3"/>
        </w:rPr>
        <w:t xml:space="preserve">the QPSR reforms </w:t>
      </w:r>
      <w:r>
        <w:rPr>
          <w:spacing w:val="-4"/>
        </w:rPr>
        <w:t xml:space="preserve">across </w:t>
      </w:r>
      <w:r>
        <w:rPr>
          <w:spacing w:val="-3"/>
        </w:rPr>
        <w:t>all</w:t>
      </w:r>
      <w:r>
        <w:rPr>
          <w:spacing w:val="-20"/>
        </w:rPr>
        <w:t xml:space="preserve"> </w:t>
      </w:r>
      <w:r>
        <w:rPr>
          <w:spacing w:val="-4"/>
        </w:rPr>
        <w:t>centres.</w:t>
      </w:r>
    </w:p>
    <w:p w14:paraId="467AB85B" w14:textId="56450726" w:rsidR="00F015CD" w:rsidRPr="00CE024C" w:rsidRDefault="00E055EB" w:rsidP="00047D07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3" w:hanging="567"/>
        <w:jc w:val="both"/>
      </w:pPr>
      <w:r>
        <w:rPr>
          <w:spacing w:val="-4"/>
          <w:u w:val="single"/>
        </w:rPr>
        <w:t xml:space="preserve">Cabinet </w:t>
      </w:r>
      <w:r>
        <w:rPr>
          <w:spacing w:val="-3"/>
          <w:u w:val="single"/>
        </w:rPr>
        <w:t>noted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4"/>
        </w:rPr>
        <w:t xml:space="preserve">progress </w:t>
      </w:r>
      <w:r>
        <w:t xml:space="preserve">in </w:t>
      </w:r>
      <w:r>
        <w:rPr>
          <w:spacing w:val="-4"/>
        </w:rPr>
        <w:t xml:space="preserve">implementing </w:t>
      </w:r>
      <w:r>
        <w:t xml:space="preserve">the </w:t>
      </w:r>
      <w:r>
        <w:rPr>
          <w:spacing w:val="-4"/>
        </w:rPr>
        <w:t xml:space="preserve">recommendations </w:t>
      </w:r>
      <w:r>
        <w:rPr>
          <w:spacing w:val="-3"/>
        </w:rPr>
        <w:t>of the</w:t>
      </w:r>
      <w:r>
        <w:rPr>
          <w:spacing w:val="-36"/>
        </w:rPr>
        <w:t xml:space="preserve"> </w:t>
      </w:r>
      <w:r w:rsidR="00F7259B">
        <w:rPr>
          <w:spacing w:val="-4"/>
        </w:rPr>
        <w:t>Queensland Parole System Review</w:t>
      </w:r>
      <w:r>
        <w:rPr>
          <w:spacing w:val="-4"/>
        </w:rPr>
        <w:t>.</w:t>
      </w:r>
    </w:p>
    <w:p w14:paraId="3DF288FE" w14:textId="4F7B543B" w:rsidR="00A60C94" w:rsidRDefault="00A60C94" w:rsidP="00AD61BA">
      <w:pPr>
        <w:pStyle w:val="ListParagraph"/>
        <w:numPr>
          <w:ilvl w:val="0"/>
          <w:numId w:val="1"/>
        </w:numPr>
        <w:tabs>
          <w:tab w:val="left" w:pos="567"/>
        </w:tabs>
        <w:spacing w:before="360"/>
        <w:ind w:left="567" w:right="3" w:hanging="567"/>
        <w:jc w:val="left"/>
      </w:pPr>
      <w:r w:rsidRPr="00181A85">
        <w:rPr>
          <w:i/>
          <w:u w:val="single"/>
        </w:rPr>
        <w:t>Attachments</w:t>
      </w:r>
    </w:p>
    <w:p w14:paraId="4EC8970A" w14:textId="53398438" w:rsidR="00A60C94" w:rsidRDefault="00A60C94" w:rsidP="00AD61BA">
      <w:pPr>
        <w:pStyle w:val="ListParagraph"/>
        <w:numPr>
          <w:ilvl w:val="0"/>
          <w:numId w:val="2"/>
        </w:numPr>
        <w:tabs>
          <w:tab w:val="left" w:pos="993"/>
        </w:tabs>
        <w:spacing w:before="120"/>
        <w:ind w:left="567" w:right="3" w:firstLine="0"/>
      </w:pPr>
      <w:r>
        <w:t>Nil.</w:t>
      </w:r>
    </w:p>
    <w:sectPr w:rsidR="00A60C94" w:rsidSect="006216AC">
      <w:headerReference w:type="default" r:id="rId10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4A73A" w14:textId="77777777" w:rsidR="00720C7B" w:rsidRDefault="00720C7B" w:rsidP="00CC2AB7">
      <w:r>
        <w:separator/>
      </w:r>
    </w:p>
  </w:endnote>
  <w:endnote w:type="continuationSeparator" w:id="0">
    <w:p w14:paraId="6A73E356" w14:textId="77777777" w:rsidR="00720C7B" w:rsidRDefault="00720C7B" w:rsidP="00CC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1740F" w14:textId="77777777" w:rsidR="00720C7B" w:rsidRDefault="00720C7B" w:rsidP="00CC2AB7">
      <w:r>
        <w:separator/>
      </w:r>
    </w:p>
  </w:footnote>
  <w:footnote w:type="continuationSeparator" w:id="0">
    <w:p w14:paraId="3A6D9D57" w14:textId="77777777" w:rsidR="00720C7B" w:rsidRDefault="00720C7B" w:rsidP="00CC2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F162A" w14:textId="77777777" w:rsidR="00CC2AB7" w:rsidRPr="00937A4A" w:rsidRDefault="00CC2AB7" w:rsidP="00CC2AB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  <w:lang w:eastAsia="en-US"/>
      </w:rPr>
    </w:pPr>
    <w:r w:rsidRPr="00937A4A">
      <w:rPr>
        <w:b/>
        <w:sz w:val="28"/>
        <w:lang w:eastAsia="en-US"/>
      </w:rPr>
      <w:t>Queensland Government</w:t>
    </w:r>
  </w:p>
  <w:p w14:paraId="39623C93" w14:textId="77777777" w:rsidR="00CC2AB7" w:rsidRPr="00937A4A" w:rsidRDefault="00CC2AB7" w:rsidP="00CC2AB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  <w:lang w:eastAsia="en-US"/>
      </w:rPr>
    </w:pPr>
  </w:p>
  <w:p w14:paraId="08BA9BDD" w14:textId="043327D7" w:rsidR="00CC2AB7" w:rsidRPr="00937A4A" w:rsidRDefault="00CC2AB7" w:rsidP="00CC2AB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  <w:lang w:eastAsia="en-US"/>
      </w:rPr>
    </w:pPr>
    <w:r w:rsidRPr="00937A4A">
      <w:rPr>
        <w:b/>
        <w:lang w:eastAsia="en-US"/>
      </w:rPr>
      <w:t xml:space="preserve">Cabinet – </w:t>
    </w:r>
    <w:r>
      <w:rPr>
        <w:b/>
        <w:lang w:eastAsia="en-US"/>
      </w:rPr>
      <w:t>April 2019</w:t>
    </w:r>
  </w:p>
  <w:p w14:paraId="79FA1332" w14:textId="7FC4B069" w:rsidR="00CC2AB7" w:rsidRDefault="00CC2AB7" w:rsidP="00CC2AB7">
    <w:pPr>
      <w:pStyle w:val="Header"/>
      <w:spacing w:before="120"/>
      <w:rPr>
        <w:b/>
        <w:u w:val="single"/>
      </w:rPr>
    </w:pPr>
    <w:r>
      <w:rPr>
        <w:b/>
        <w:u w:val="single"/>
      </w:rPr>
      <w:t>Queensland Parole System Refor</w:t>
    </w:r>
    <w:r w:rsidR="00202D25">
      <w:rPr>
        <w:b/>
        <w:u w:val="single"/>
      </w:rPr>
      <w:t>m</w:t>
    </w:r>
    <w:r>
      <w:rPr>
        <w:b/>
        <w:u w:val="single"/>
      </w:rPr>
      <w:t>: Progress Report</w:t>
    </w:r>
  </w:p>
  <w:p w14:paraId="09BF61EC" w14:textId="77A4C994" w:rsidR="00CC2AB7" w:rsidRDefault="00CC2AB7" w:rsidP="00CC2AB7">
    <w:pPr>
      <w:pStyle w:val="Header"/>
      <w:spacing w:before="120"/>
      <w:rPr>
        <w:b/>
        <w:u w:val="single"/>
      </w:rPr>
    </w:pPr>
    <w:r>
      <w:rPr>
        <w:b/>
        <w:u w:val="single"/>
      </w:rPr>
      <w:t>Minister for Police and Minister for Corrective Services</w:t>
    </w:r>
  </w:p>
  <w:p w14:paraId="0E1C5ED9" w14:textId="77777777" w:rsidR="00CC2AB7" w:rsidRDefault="00CC2AB7" w:rsidP="00CC2AB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30260"/>
    <w:multiLevelType w:val="hybridMultilevel"/>
    <w:tmpl w:val="98D812EA"/>
    <w:lvl w:ilvl="0" w:tplc="0958BA7A">
      <w:start w:val="1"/>
      <w:numFmt w:val="decimal"/>
      <w:lvlText w:val="%1."/>
      <w:lvlJc w:val="left"/>
      <w:pPr>
        <w:ind w:left="647" w:hanging="428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  <w:lang w:val="en-AU" w:eastAsia="en-AU" w:bidi="en-AU"/>
      </w:rPr>
    </w:lvl>
    <w:lvl w:ilvl="1" w:tplc="578873BE">
      <w:numFmt w:val="bullet"/>
      <w:lvlText w:val="•"/>
      <w:lvlJc w:val="left"/>
      <w:pPr>
        <w:ind w:left="1522" w:hanging="428"/>
      </w:pPr>
      <w:rPr>
        <w:rFonts w:hint="default"/>
        <w:lang w:val="en-AU" w:eastAsia="en-AU" w:bidi="en-AU"/>
      </w:rPr>
    </w:lvl>
    <w:lvl w:ilvl="2" w:tplc="D6DA1C0A">
      <w:numFmt w:val="bullet"/>
      <w:lvlText w:val="•"/>
      <w:lvlJc w:val="left"/>
      <w:pPr>
        <w:ind w:left="2405" w:hanging="428"/>
      </w:pPr>
      <w:rPr>
        <w:rFonts w:hint="default"/>
        <w:lang w:val="en-AU" w:eastAsia="en-AU" w:bidi="en-AU"/>
      </w:rPr>
    </w:lvl>
    <w:lvl w:ilvl="3" w:tplc="EBFCC538">
      <w:numFmt w:val="bullet"/>
      <w:lvlText w:val="•"/>
      <w:lvlJc w:val="left"/>
      <w:pPr>
        <w:ind w:left="3287" w:hanging="428"/>
      </w:pPr>
      <w:rPr>
        <w:rFonts w:hint="default"/>
        <w:lang w:val="en-AU" w:eastAsia="en-AU" w:bidi="en-AU"/>
      </w:rPr>
    </w:lvl>
    <w:lvl w:ilvl="4" w:tplc="84CA9B56">
      <w:numFmt w:val="bullet"/>
      <w:lvlText w:val="•"/>
      <w:lvlJc w:val="left"/>
      <w:pPr>
        <w:ind w:left="4170" w:hanging="428"/>
      </w:pPr>
      <w:rPr>
        <w:rFonts w:hint="default"/>
        <w:lang w:val="en-AU" w:eastAsia="en-AU" w:bidi="en-AU"/>
      </w:rPr>
    </w:lvl>
    <w:lvl w:ilvl="5" w:tplc="C018EEDE">
      <w:numFmt w:val="bullet"/>
      <w:lvlText w:val="•"/>
      <w:lvlJc w:val="left"/>
      <w:pPr>
        <w:ind w:left="5053" w:hanging="428"/>
      </w:pPr>
      <w:rPr>
        <w:rFonts w:hint="default"/>
        <w:lang w:val="en-AU" w:eastAsia="en-AU" w:bidi="en-AU"/>
      </w:rPr>
    </w:lvl>
    <w:lvl w:ilvl="6" w:tplc="7C94DF8C">
      <w:numFmt w:val="bullet"/>
      <w:lvlText w:val="•"/>
      <w:lvlJc w:val="left"/>
      <w:pPr>
        <w:ind w:left="5935" w:hanging="428"/>
      </w:pPr>
      <w:rPr>
        <w:rFonts w:hint="default"/>
        <w:lang w:val="en-AU" w:eastAsia="en-AU" w:bidi="en-AU"/>
      </w:rPr>
    </w:lvl>
    <w:lvl w:ilvl="7" w:tplc="B92EC3E0">
      <w:numFmt w:val="bullet"/>
      <w:lvlText w:val="•"/>
      <w:lvlJc w:val="left"/>
      <w:pPr>
        <w:ind w:left="6818" w:hanging="428"/>
      </w:pPr>
      <w:rPr>
        <w:rFonts w:hint="default"/>
        <w:lang w:val="en-AU" w:eastAsia="en-AU" w:bidi="en-AU"/>
      </w:rPr>
    </w:lvl>
    <w:lvl w:ilvl="8" w:tplc="E7C4D2FA">
      <w:numFmt w:val="bullet"/>
      <w:lvlText w:val="•"/>
      <w:lvlJc w:val="left"/>
      <w:pPr>
        <w:ind w:left="7701" w:hanging="428"/>
      </w:pPr>
      <w:rPr>
        <w:rFonts w:hint="default"/>
        <w:lang w:val="en-AU" w:eastAsia="en-AU" w:bidi="en-AU"/>
      </w:rPr>
    </w:lvl>
  </w:abstractNum>
  <w:abstractNum w:abstractNumId="1" w15:restartNumberingAfterBreak="0">
    <w:nsid w:val="7AFB3DEA"/>
    <w:multiLevelType w:val="hybridMultilevel"/>
    <w:tmpl w:val="0CE28154"/>
    <w:lvl w:ilvl="0" w:tplc="0C0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5CD"/>
    <w:rsid w:val="00047D07"/>
    <w:rsid w:val="00074071"/>
    <w:rsid w:val="00181A85"/>
    <w:rsid w:val="00202D25"/>
    <w:rsid w:val="00272DBD"/>
    <w:rsid w:val="00397AA4"/>
    <w:rsid w:val="004A1360"/>
    <w:rsid w:val="004A3B2B"/>
    <w:rsid w:val="006216AC"/>
    <w:rsid w:val="006402C2"/>
    <w:rsid w:val="00720C7B"/>
    <w:rsid w:val="00732342"/>
    <w:rsid w:val="00735480"/>
    <w:rsid w:val="00773C12"/>
    <w:rsid w:val="00791CC1"/>
    <w:rsid w:val="007D3AF4"/>
    <w:rsid w:val="00840A23"/>
    <w:rsid w:val="008B5B91"/>
    <w:rsid w:val="00912CB2"/>
    <w:rsid w:val="00A60C94"/>
    <w:rsid w:val="00AD61BA"/>
    <w:rsid w:val="00AE69BA"/>
    <w:rsid w:val="00B85EB0"/>
    <w:rsid w:val="00C06DD4"/>
    <w:rsid w:val="00C51237"/>
    <w:rsid w:val="00CC2AB7"/>
    <w:rsid w:val="00CE024C"/>
    <w:rsid w:val="00E055EB"/>
    <w:rsid w:val="00E56887"/>
    <w:rsid w:val="00EF5593"/>
    <w:rsid w:val="00F015CD"/>
    <w:rsid w:val="00F7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AB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9"/>
    <w:qFormat/>
    <w:pPr>
      <w:ind w:left="26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46" w:hanging="42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2A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AB7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CC2A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AB7"/>
    <w:rPr>
      <w:rFonts w:ascii="Arial" w:eastAsia="Arial" w:hAnsi="Arial" w:cs="Arial"/>
      <w:lang w:val="en-AU" w:eastAsia="en-AU" w:bidi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B5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B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B91"/>
    <w:rPr>
      <w:rFonts w:ascii="Arial" w:eastAsia="Arial" w:hAnsi="Arial" w:cs="Arial"/>
      <w:sz w:val="20"/>
      <w:szCs w:val="20"/>
      <w:lang w:val="en-AU" w:eastAsia="en-AU" w:bidi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B91"/>
    <w:rPr>
      <w:rFonts w:ascii="Arial" w:eastAsia="Arial" w:hAnsi="Arial" w:cs="Arial"/>
      <w:b/>
      <w:bCs/>
      <w:sz w:val="20"/>
      <w:szCs w:val="20"/>
      <w:lang w:val="en-AU" w:eastAsia="en-AU" w:bidi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B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B91"/>
    <w:rPr>
      <w:rFonts w:ascii="Segoe UI" w:eastAsia="Arial" w:hAnsi="Segoe UI" w:cs="Segoe UI"/>
      <w:sz w:val="18"/>
      <w:szCs w:val="18"/>
      <w:lang w:val="en-AU" w:eastAsia="en-AU" w:bidi="en-AU"/>
    </w:rPr>
  </w:style>
  <w:style w:type="paragraph" w:styleId="Revision">
    <w:name w:val="Revision"/>
    <w:hidden/>
    <w:uiPriority w:val="99"/>
    <w:semiHidden/>
    <w:rsid w:val="00AE69BA"/>
    <w:pPr>
      <w:widowControl/>
      <w:autoSpaceDE/>
      <w:autoSpaceDN/>
    </w:pPr>
    <w:rPr>
      <w:rFonts w:ascii="Arial" w:eastAsia="Arial" w:hAnsi="Arial" w:cs="Arial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9" ma:contentTypeDescription="Create a new document." ma:contentTypeScope="" ma:versionID="d6b3e961082200c5a700998994f781a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cc3b65ad2610a8494efec25e4d5ad3b0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49B561-B95F-46B6-AAB3-2FF8267E6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DADE3F-B4A5-47A6-9974-507B8B3B9A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28FAA6-2C14-48A8-A10B-B438FC155B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988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1147</CharactersWithSpaces>
  <SharedDoc>false</SharedDoc>
  <HyperlinkBase>https://www.cabinet.qld.gov.au/documents/2019/Apr/Parprog/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8</cp:revision>
  <dcterms:created xsi:type="dcterms:W3CDTF">2019-04-14T21:34:00Z</dcterms:created>
  <dcterms:modified xsi:type="dcterms:W3CDTF">2019-12-11T09:18:00Z</dcterms:modified>
  <cp:category>Corrective_Services,Parole,Prisons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2019-04-12T00:00:00Z</vt:filetime>
  </property>
  <property fmtid="{D5CDD505-2E9C-101B-9397-08002B2CF9AE}" pid="5" name="ContentTypeId">
    <vt:lpwstr>0x010100DDE14CFDD070B24F85F5DE43654FF01E</vt:lpwstr>
  </property>
</Properties>
</file>